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bookmarkStart w:id="0" w:name="_GoBack"/>
      <w:bookmarkEnd w:id="0"/>
    </w:p>
    <w:p w:rsidR="00FA1C91" w:rsidRDefault="00FA1C91"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391C18" w:rsidRDefault="00D167AE" w:rsidP="004F6019">
      <w:pPr>
        <w:widowControl w:val="0"/>
        <w:spacing w:after="0" w:line="240" w:lineRule="auto"/>
        <w:jc w:val="center"/>
        <w:rPr>
          <w:rStyle w:val="a8"/>
          <w:rFonts w:ascii="Times New Roman" w:hAnsi="Times New Roman" w:cs="Times New Roman"/>
          <w:u w:val="single"/>
        </w:rPr>
      </w:pPr>
      <w:r w:rsidRPr="00D167AE">
        <w:rPr>
          <w:rStyle w:val="a8"/>
          <w:rFonts w:ascii="Times New Roman" w:hAnsi="Times New Roman" w:cs="Times New Roman"/>
          <w:u w:val="single"/>
        </w:rPr>
        <w:t xml:space="preserve">Послуги з </w:t>
      </w:r>
      <w:r w:rsidRPr="00D167AE">
        <w:rPr>
          <w:rFonts w:ascii="Times New Roman" w:hAnsi="Times New Roman" w:cs="Times New Roman"/>
          <w:b/>
          <w:bCs/>
          <w:u w:val="single"/>
          <w:lang w:eastAsia="uk-UA"/>
        </w:rPr>
        <w:t xml:space="preserve">поточного ремонту і технічного обслуговування автоматичного гематологічного аналізатора  </w:t>
      </w:r>
      <w:proofErr w:type="spellStart"/>
      <w:r w:rsidRPr="00D167AE">
        <w:rPr>
          <w:rFonts w:ascii="Times New Roman" w:hAnsi="Times New Roman" w:cs="Times New Roman"/>
          <w:b/>
          <w:bCs/>
          <w:u w:val="single"/>
          <w:lang w:eastAsia="uk-UA"/>
        </w:rPr>
        <w:t>Swelab</w:t>
      </w:r>
      <w:proofErr w:type="spellEnd"/>
      <w:r w:rsidRPr="00D167AE">
        <w:rPr>
          <w:rFonts w:ascii="Times New Roman" w:hAnsi="Times New Roman" w:cs="Times New Roman"/>
          <w:b/>
          <w:bCs/>
          <w:u w:val="single"/>
          <w:lang w:eastAsia="uk-UA"/>
        </w:rPr>
        <w:t xml:space="preserve"> </w:t>
      </w:r>
      <w:proofErr w:type="spellStart"/>
      <w:r w:rsidRPr="00D167AE">
        <w:rPr>
          <w:rFonts w:ascii="Times New Roman" w:hAnsi="Times New Roman" w:cs="Times New Roman"/>
          <w:b/>
          <w:bCs/>
          <w:u w:val="single"/>
          <w:lang w:eastAsia="uk-UA"/>
        </w:rPr>
        <w:t>Alfa</w:t>
      </w:r>
      <w:proofErr w:type="spellEnd"/>
      <w:r w:rsidRPr="00D167AE">
        <w:rPr>
          <w:rFonts w:ascii="Times New Roman" w:hAnsi="Times New Roman" w:cs="Times New Roman"/>
          <w:b/>
          <w:bCs/>
          <w:u w:val="single"/>
          <w:lang w:eastAsia="uk-UA"/>
        </w:rPr>
        <w:t xml:space="preserve"> </w:t>
      </w:r>
      <w:proofErr w:type="spellStart"/>
      <w:r w:rsidRPr="00D167AE">
        <w:rPr>
          <w:rFonts w:ascii="Times New Roman" w:hAnsi="Times New Roman" w:cs="Times New Roman"/>
          <w:b/>
          <w:bCs/>
          <w:u w:val="single"/>
          <w:lang w:val="en-US" w:eastAsia="uk-UA"/>
        </w:rPr>
        <w:t>Standart</w:t>
      </w:r>
      <w:proofErr w:type="spellEnd"/>
      <w:r w:rsidRPr="00D167AE">
        <w:rPr>
          <w:rStyle w:val="a8"/>
          <w:rFonts w:ascii="Times New Roman" w:hAnsi="Times New Roman" w:cs="Times New Roman"/>
          <w:u w:val="single"/>
        </w:rPr>
        <w:t xml:space="preserve"> (код за ЕЗС ДК 021:2015:50420000-5 Послуги з ремонту і технічного обслуговування медичного та хірургічного обладнання)</w:t>
      </w:r>
    </w:p>
    <w:p w:rsidR="00D167AE" w:rsidRDefault="00D167AE" w:rsidP="00D167AE">
      <w:pPr>
        <w:widowControl w:val="0"/>
        <w:spacing w:after="0" w:line="240" w:lineRule="auto"/>
        <w:rPr>
          <w:rStyle w:val="a8"/>
          <w:rFonts w:ascii="Times New Roman" w:hAnsi="Times New Roman" w:cs="Times New Roman"/>
          <w:u w:val="single"/>
        </w:rPr>
      </w:pPr>
    </w:p>
    <w:tbl>
      <w:tblPr>
        <w:tblpPr w:leftFromText="180" w:rightFromText="180" w:vertAnchor="text" w:horzAnchor="margin" w:tblpXSpec="center" w:tblpY="-27"/>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82"/>
        <w:gridCol w:w="1123"/>
        <w:gridCol w:w="862"/>
      </w:tblGrid>
      <w:tr w:rsidR="00EB1074" w:rsidRPr="00FA1C91" w:rsidTr="00FA1C91">
        <w:trPr>
          <w:trHeight w:val="634"/>
        </w:trPr>
        <w:tc>
          <w:tcPr>
            <w:tcW w:w="704" w:type="dxa"/>
          </w:tcPr>
          <w:p w:rsidR="00EB1074" w:rsidRPr="00FA1C91" w:rsidRDefault="00EB1074" w:rsidP="00C561E6">
            <w:pPr>
              <w:spacing w:line="240" w:lineRule="auto"/>
              <w:jc w:val="center"/>
              <w:rPr>
                <w:rFonts w:ascii="Times New Roman" w:eastAsia="Times New Roman" w:hAnsi="Times New Roman"/>
                <w:b/>
                <w:bCs/>
                <w:color w:val="000000"/>
                <w:sz w:val="24"/>
                <w:szCs w:val="24"/>
              </w:rPr>
            </w:pPr>
            <w:r w:rsidRPr="00FA1C91">
              <w:rPr>
                <w:rFonts w:ascii="Times New Roman" w:eastAsia="Times New Roman" w:hAnsi="Times New Roman"/>
                <w:b/>
                <w:bCs/>
                <w:color w:val="000000"/>
                <w:sz w:val="24"/>
                <w:szCs w:val="24"/>
              </w:rPr>
              <w:t>№</w:t>
            </w:r>
          </w:p>
          <w:p w:rsidR="00EB1074" w:rsidRPr="00FA1C91" w:rsidRDefault="00EB1074" w:rsidP="00C561E6">
            <w:pPr>
              <w:spacing w:line="240" w:lineRule="auto"/>
              <w:jc w:val="center"/>
              <w:rPr>
                <w:rFonts w:ascii="Times New Roman" w:eastAsia="Times New Roman" w:hAnsi="Times New Roman"/>
                <w:b/>
                <w:bCs/>
                <w:color w:val="000000"/>
                <w:sz w:val="24"/>
                <w:szCs w:val="24"/>
              </w:rPr>
            </w:pPr>
            <w:r w:rsidRPr="00FA1C91">
              <w:rPr>
                <w:rFonts w:ascii="Times New Roman" w:eastAsia="Times New Roman" w:hAnsi="Times New Roman"/>
                <w:b/>
                <w:bCs/>
                <w:color w:val="000000"/>
                <w:sz w:val="24"/>
                <w:szCs w:val="24"/>
              </w:rPr>
              <w:t>з/п</w:t>
            </w:r>
          </w:p>
        </w:tc>
        <w:tc>
          <w:tcPr>
            <w:tcW w:w="7382" w:type="dxa"/>
          </w:tcPr>
          <w:p w:rsidR="00EB1074" w:rsidRPr="00FA1C91" w:rsidRDefault="00EB1074" w:rsidP="00C561E6">
            <w:pPr>
              <w:keepNext/>
              <w:spacing w:line="240" w:lineRule="auto"/>
              <w:jc w:val="center"/>
              <w:outlineLvl w:val="2"/>
              <w:rPr>
                <w:rFonts w:ascii="Times New Roman" w:eastAsia="Times New Roman" w:hAnsi="Times New Roman"/>
                <w:b/>
                <w:sz w:val="24"/>
                <w:szCs w:val="24"/>
              </w:rPr>
            </w:pPr>
            <w:r w:rsidRPr="00FA1C91">
              <w:rPr>
                <w:rFonts w:ascii="Times New Roman" w:eastAsia="Times New Roman" w:hAnsi="Times New Roman"/>
                <w:b/>
                <w:sz w:val="24"/>
                <w:szCs w:val="24"/>
              </w:rPr>
              <w:t>Найменування</w:t>
            </w:r>
          </w:p>
        </w:tc>
        <w:tc>
          <w:tcPr>
            <w:tcW w:w="1123" w:type="dxa"/>
          </w:tcPr>
          <w:p w:rsidR="00EB1074" w:rsidRPr="00FA1C91" w:rsidRDefault="00EB1074" w:rsidP="00C561E6">
            <w:pPr>
              <w:spacing w:line="240" w:lineRule="auto"/>
              <w:ind w:left="-108" w:right="-108"/>
              <w:jc w:val="center"/>
              <w:rPr>
                <w:rFonts w:ascii="Times New Roman" w:eastAsia="Times New Roman" w:hAnsi="Times New Roman"/>
                <w:b/>
                <w:bCs/>
                <w:sz w:val="24"/>
                <w:szCs w:val="24"/>
              </w:rPr>
            </w:pPr>
            <w:r w:rsidRPr="00FA1C91">
              <w:rPr>
                <w:rFonts w:ascii="Times New Roman" w:eastAsia="Times New Roman" w:hAnsi="Times New Roman"/>
                <w:b/>
                <w:bCs/>
                <w:sz w:val="24"/>
                <w:szCs w:val="24"/>
              </w:rPr>
              <w:t xml:space="preserve">Од. </w:t>
            </w:r>
            <w:proofErr w:type="spellStart"/>
            <w:r w:rsidRPr="00FA1C91">
              <w:rPr>
                <w:rFonts w:ascii="Times New Roman" w:eastAsia="Times New Roman" w:hAnsi="Times New Roman"/>
                <w:b/>
                <w:bCs/>
                <w:sz w:val="24"/>
                <w:szCs w:val="24"/>
              </w:rPr>
              <w:t>вим</w:t>
            </w:r>
            <w:proofErr w:type="spellEnd"/>
            <w:r w:rsidRPr="00FA1C91">
              <w:rPr>
                <w:rFonts w:ascii="Times New Roman" w:eastAsia="Times New Roman" w:hAnsi="Times New Roman"/>
                <w:b/>
                <w:bCs/>
                <w:sz w:val="24"/>
                <w:szCs w:val="24"/>
              </w:rPr>
              <w:t>.</w:t>
            </w:r>
          </w:p>
        </w:tc>
        <w:tc>
          <w:tcPr>
            <w:tcW w:w="862" w:type="dxa"/>
          </w:tcPr>
          <w:p w:rsidR="00EB1074" w:rsidRPr="00FA1C91" w:rsidRDefault="00EB1074" w:rsidP="00C561E6">
            <w:pPr>
              <w:keepNext/>
              <w:spacing w:line="240" w:lineRule="auto"/>
              <w:jc w:val="center"/>
              <w:outlineLvl w:val="1"/>
              <w:rPr>
                <w:rFonts w:ascii="Times New Roman" w:eastAsia="Times New Roman" w:hAnsi="Times New Roman"/>
                <w:b/>
                <w:i/>
                <w:sz w:val="24"/>
                <w:szCs w:val="24"/>
              </w:rPr>
            </w:pPr>
            <w:r w:rsidRPr="00FA1C91">
              <w:rPr>
                <w:rFonts w:ascii="Times New Roman" w:eastAsia="Times New Roman" w:hAnsi="Times New Roman"/>
                <w:b/>
                <w:sz w:val="24"/>
                <w:szCs w:val="24"/>
              </w:rPr>
              <w:t>Кіль-кість</w:t>
            </w:r>
          </w:p>
        </w:tc>
      </w:tr>
      <w:tr w:rsidR="00EB1074" w:rsidRPr="00FA1C91" w:rsidTr="00FA1C91">
        <w:trPr>
          <w:trHeight w:val="654"/>
        </w:trPr>
        <w:tc>
          <w:tcPr>
            <w:tcW w:w="704" w:type="dxa"/>
          </w:tcPr>
          <w:p w:rsidR="00EB1074" w:rsidRPr="00FA1C91" w:rsidRDefault="00EB1074" w:rsidP="00C561E6">
            <w:pPr>
              <w:spacing w:line="240" w:lineRule="auto"/>
              <w:jc w:val="center"/>
              <w:rPr>
                <w:rFonts w:ascii="Times New Roman" w:eastAsia="Times New Roman" w:hAnsi="Times New Roman"/>
                <w:b/>
                <w:bCs/>
                <w:color w:val="000000"/>
                <w:sz w:val="24"/>
                <w:szCs w:val="24"/>
                <w:lang w:eastAsia="uk-UA"/>
              </w:rPr>
            </w:pPr>
            <w:r w:rsidRPr="00FA1C91">
              <w:rPr>
                <w:rFonts w:ascii="Times New Roman" w:hAnsi="Times New Roman"/>
                <w:b/>
                <w:bCs/>
                <w:color w:val="000000"/>
                <w:sz w:val="24"/>
                <w:szCs w:val="24"/>
              </w:rPr>
              <w:t>1</w:t>
            </w:r>
          </w:p>
        </w:tc>
        <w:tc>
          <w:tcPr>
            <w:tcW w:w="7382" w:type="dxa"/>
          </w:tcPr>
          <w:p w:rsidR="00EB1074" w:rsidRPr="00FA1C91" w:rsidRDefault="00EB1074" w:rsidP="00FA1C91">
            <w:pPr>
              <w:spacing w:line="240" w:lineRule="auto"/>
              <w:jc w:val="both"/>
              <w:rPr>
                <w:rFonts w:ascii="Times New Roman" w:eastAsia="Times New Roman" w:hAnsi="Times New Roman"/>
                <w:b/>
                <w:bCs/>
                <w:color w:val="000000"/>
                <w:sz w:val="24"/>
                <w:szCs w:val="24"/>
                <w:lang w:val="ru-RU"/>
              </w:rPr>
            </w:pPr>
            <w:r w:rsidRPr="00FA1C91">
              <w:rPr>
                <w:rFonts w:ascii="Times New Roman" w:hAnsi="Times New Roman"/>
                <w:b/>
                <w:bCs/>
                <w:sz w:val="24"/>
                <w:szCs w:val="24"/>
                <w:lang w:eastAsia="uk-UA"/>
              </w:rPr>
              <w:t xml:space="preserve">Послуги з поточного ремонту і технічного обслуговування автоматичного гематологічного аналізатора  </w:t>
            </w:r>
            <w:proofErr w:type="spellStart"/>
            <w:r w:rsidRPr="00FA1C91">
              <w:rPr>
                <w:rFonts w:ascii="Times New Roman" w:hAnsi="Times New Roman"/>
                <w:b/>
                <w:bCs/>
                <w:sz w:val="24"/>
                <w:szCs w:val="24"/>
                <w:lang w:eastAsia="uk-UA"/>
              </w:rPr>
              <w:t>Swelab</w:t>
            </w:r>
            <w:proofErr w:type="spellEnd"/>
            <w:r w:rsidRPr="00FA1C91">
              <w:rPr>
                <w:rFonts w:ascii="Times New Roman" w:hAnsi="Times New Roman"/>
                <w:b/>
                <w:bCs/>
                <w:sz w:val="24"/>
                <w:szCs w:val="24"/>
                <w:lang w:eastAsia="uk-UA"/>
              </w:rPr>
              <w:t xml:space="preserve"> </w:t>
            </w:r>
            <w:proofErr w:type="spellStart"/>
            <w:r w:rsidRPr="00FA1C91">
              <w:rPr>
                <w:rFonts w:ascii="Times New Roman" w:hAnsi="Times New Roman"/>
                <w:b/>
                <w:bCs/>
                <w:sz w:val="24"/>
                <w:szCs w:val="24"/>
                <w:lang w:eastAsia="uk-UA"/>
              </w:rPr>
              <w:t>Alfa</w:t>
            </w:r>
            <w:proofErr w:type="spellEnd"/>
            <w:r w:rsidRPr="00FA1C91">
              <w:rPr>
                <w:rFonts w:ascii="Times New Roman" w:hAnsi="Times New Roman"/>
                <w:b/>
                <w:bCs/>
                <w:sz w:val="24"/>
                <w:szCs w:val="24"/>
                <w:lang w:eastAsia="uk-UA"/>
              </w:rPr>
              <w:t xml:space="preserve"> </w:t>
            </w:r>
            <w:proofErr w:type="spellStart"/>
            <w:r w:rsidRPr="00FA1C91">
              <w:rPr>
                <w:rFonts w:ascii="Times New Roman" w:hAnsi="Times New Roman"/>
                <w:b/>
                <w:bCs/>
                <w:sz w:val="24"/>
                <w:szCs w:val="24"/>
                <w:lang w:val="en-US" w:eastAsia="uk-UA"/>
              </w:rPr>
              <w:t>Standart</w:t>
            </w:r>
            <w:proofErr w:type="spellEnd"/>
          </w:p>
        </w:tc>
        <w:tc>
          <w:tcPr>
            <w:tcW w:w="1123" w:type="dxa"/>
            <w:vMerge w:val="restart"/>
          </w:tcPr>
          <w:p w:rsidR="00EB1074" w:rsidRPr="00FA1C91" w:rsidRDefault="00EB1074" w:rsidP="00C561E6">
            <w:pPr>
              <w:spacing w:line="240" w:lineRule="auto"/>
              <w:jc w:val="center"/>
              <w:rPr>
                <w:rFonts w:ascii="Times New Roman" w:eastAsia="Times New Roman" w:hAnsi="Times New Roman"/>
                <w:b/>
                <w:color w:val="000000"/>
                <w:sz w:val="24"/>
                <w:szCs w:val="24"/>
              </w:rPr>
            </w:pPr>
          </w:p>
          <w:p w:rsidR="00EB1074" w:rsidRPr="00FA1C91" w:rsidRDefault="00EB1074" w:rsidP="00C561E6">
            <w:pPr>
              <w:spacing w:line="240" w:lineRule="auto"/>
              <w:jc w:val="center"/>
              <w:rPr>
                <w:rFonts w:ascii="Times New Roman" w:eastAsia="Times New Roman" w:hAnsi="Times New Roman"/>
                <w:b/>
                <w:color w:val="000000"/>
                <w:sz w:val="24"/>
                <w:szCs w:val="24"/>
              </w:rPr>
            </w:pPr>
            <w:r w:rsidRPr="00FA1C91">
              <w:rPr>
                <w:rFonts w:ascii="Times New Roman" w:eastAsia="Times New Roman" w:hAnsi="Times New Roman"/>
                <w:b/>
                <w:color w:val="000000"/>
                <w:sz w:val="24"/>
                <w:szCs w:val="24"/>
              </w:rPr>
              <w:t>послуга</w:t>
            </w:r>
          </w:p>
        </w:tc>
        <w:tc>
          <w:tcPr>
            <w:tcW w:w="862" w:type="dxa"/>
            <w:vMerge w:val="restart"/>
          </w:tcPr>
          <w:p w:rsidR="00EB1074" w:rsidRPr="00FA1C91" w:rsidRDefault="00EB1074" w:rsidP="00C561E6">
            <w:pPr>
              <w:spacing w:line="240" w:lineRule="auto"/>
              <w:jc w:val="center"/>
              <w:rPr>
                <w:rFonts w:ascii="Times New Roman" w:eastAsia="Times New Roman" w:hAnsi="Times New Roman"/>
                <w:b/>
                <w:color w:val="000000"/>
                <w:sz w:val="24"/>
                <w:szCs w:val="24"/>
              </w:rPr>
            </w:pPr>
          </w:p>
          <w:p w:rsidR="00EB1074" w:rsidRPr="00FA1C91" w:rsidRDefault="00EB1074" w:rsidP="00C561E6">
            <w:pPr>
              <w:spacing w:line="240" w:lineRule="auto"/>
              <w:jc w:val="center"/>
              <w:rPr>
                <w:rFonts w:ascii="Times New Roman" w:eastAsia="Times New Roman" w:hAnsi="Times New Roman"/>
                <w:b/>
                <w:color w:val="000000"/>
                <w:sz w:val="24"/>
                <w:szCs w:val="24"/>
              </w:rPr>
            </w:pPr>
            <w:r w:rsidRPr="00FA1C91">
              <w:rPr>
                <w:rFonts w:ascii="Times New Roman" w:eastAsia="Times New Roman" w:hAnsi="Times New Roman"/>
                <w:b/>
                <w:color w:val="000000"/>
                <w:sz w:val="24"/>
                <w:szCs w:val="24"/>
              </w:rPr>
              <w:t>1</w:t>
            </w:r>
          </w:p>
        </w:tc>
      </w:tr>
      <w:tr w:rsidR="00EB1074" w:rsidRPr="00FA1C91" w:rsidTr="00FA1C91">
        <w:trPr>
          <w:trHeight w:val="257"/>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color w:val="000000"/>
                <w:sz w:val="24"/>
                <w:szCs w:val="24"/>
              </w:rPr>
              <w:t>1.1</w:t>
            </w:r>
          </w:p>
        </w:tc>
        <w:tc>
          <w:tcPr>
            <w:tcW w:w="7382" w:type="dxa"/>
          </w:tcPr>
          <w:p w:rsidR="00EB1074" w:rsidRPr="00FA1C91" w:rsidRDefault="00EB1074" w:rsidP="00C561E6">
            <w:pPr>
              <w:spacing w:line="240" w:lineRule="auto"/>
              <w:rPr>
                <w:rFonts w:ascii="Times New Roman" w:eastAsia="Times New Roman" w:hAnsi="Times New Roman"/>
                <w:b/>
                <w:sz w:val="24"/>
                <w:szCs w:val="24"/>
              </w:rPr>
            </w:pPr>
            <w:r w:rsidRPr="00FA1C91">
              <w:rPr>
                <w:rFonts w:ascii="Times New Roman" w:hAnsi="Times New Roman"/>
                <w:sz w:val="24"/>
                <w:szCs w:val="24"/>
              </w:rPr>
              <w:t>Загальна промивка системи</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180"/>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1.2</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Чистка ємності для змішування</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180"/>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1.3</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 xml:space="preserve">Чистка адаптера для </w:t>
            </w:r>
            <w:proofErr w:type="spellStart"/>
            <w:r w:rsidRPr="00FA1C91">
              <w:rPr>
                <w:rFonts w:ascii="Times New Roman" w:hAnsi="Times New Roman"/>
                <w:sz w:val="24"/>
                <w:szCs w:val="24"/>
              </w:rPr>
              <w:t>мікрокапіляра</w:t>
            </w:r>
            <w:proofErr w:type="spellEnd"/>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252"/>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color w:val="000000"/>
                <w:sz w:val="24"/>
                <w:szCs w:val="24"/>
              </w:rPr>
              <w:t>1.4</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Заміна клапанних трубок</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252"/>
        </w:trPr>
        <w:tc>
          <w:tcPr>
            <w:tcW w:w="704" w:type="dxa"/>
          </w:tcPr>
          <w:p w:rsidR="00EB1074" w:rsidRPr="00FA1C91" w:rsidRDefault="00EB1074" w:rsidP="00C561E6">
            <w:pPr>
              <w:spacing w:line="240" w:lineRule="auto"/>
              <w:jc w:val="center"/>
              <w:rPr>
                <w:rFonts w:ascii="Times New Roman" w:hAnsi="Times New Roman"/>
                <w:color w:val="000000"/>
                <w:sz w:val="24"/>
                <w:szCs w:val="24"/>
              </w:rPr>
            </w:pPr>
            <w:r w:rsidRPr="00FA1C91">
              <w:rPr>
                <w:rFonts w:ascii="Times New Roman" w:hAnsi="Times New Roman"/>
                <w:sz w:val="24"/>
                <w:szCs w:val="24"/>
              </w:rPr>
              <w:t>1.5</w:t>
            </w:r>
          </w:p>
        </w:tc>
        <w:tc>
          <w:tcPr>
            <w:tcW w:w="7382" w:type="dxa"/>
          </w:tcPr>
          <w:p w:rsidR="00EB1074" w:rsidRPr="00FA1C91" w:rsidRDefault="00EB1074" w:rsidP="00C561E6">
            <w:pPr>
              <w:spacing w:line="240" w:lineRule="auto"/>
              <w:rPr>
                <w:rFonts w:ascii="Times New Roman" w:hAnsi="Times New Roman"/>
                <w:sz w:val="24"/>
                <w:szCs w:val="24"/>
              </w:rPr>
            </w:pPr>
            <w:r w:rsidRPr="00FA1C91">
              <w:rPr>
                <w:rFonts w:ascii="Times New Roman" w:hAnsi="Times New Roman"/>
                <w:sz w:val="24"/>
                <w:szCs w:val="24"/>
              </w:rPr>
              <w:t>Перевірка з’єднань трубок в системі</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165"/>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1.6</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Контроль тиску зливної помпи</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277"/>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1.7</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Контроль тиску повітряної помпи</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277"/>
        </w:trPr>
        <w:tc>
          <w:tcPr>
            <w:tcW w:w="704" w:type="dxa"/>
          </w:tcPr>
          <w:p w:rsidR="00EB1074" w:rsidRPr="00FA1C91" w:rsidRDefault="00EB1074" w:rsidP="00C561E6">
            <w:pPr>
              <w:spacing w:line="240" w:lineRule="auto"/>
              <w:jc w:val="center"/>
              <w:rPr>
                <w:rFonts w:ascii="Times New Roman" w:hAnsi="Times New Roman"/>
                <w:sz w:val="24"/>
                <w:szCs w:val="24"/>
              </w:rPr>
            </w:pPr>
            <w:r w:rsidRPr="00FA1C91">
              <w:rPr>
                <w:rFonts w:ascii="Times New Roman" w:hAnsi="Times New Roman"/>
                <w:sz w:val="24"/>
                <w:szCs w:val="24"/>
              </w:rPr>
              <w:t>1.8</w:t>
            </w:r>
          </w:p>
        </w:tc>
        <w:tc>
          <w:tcPr>
            <w:tcW w:w="7382" w:type="dxa"/>
          </w:tcPr>
          <w:p w:rsidR="00EB1074" w:rsidRPr="00FA1C91" w:rsidRDefault="00EB1074" w:rsidP="00C561E6">
            <w:pPr>
              <w:spacing w:line="240" w:lineRule="auto"/>
              <w:rPr>
                <w:rFonts w:ascii="Times New Roman" w:hAnsi="Times New Roman"/>
                <w:sz w:val="24"/>
                <w:szCs w:val="24"/>
              </w:rPr>
            </w:pPr>
            <w:r w:rsidRPr="00FA1C91">
              <w:rPr>
                <w:rFonts w:ascii="Times New Roman" w:hAnsi="Times New Roman"/>
                <w:sz w:val="24"/>
                <w:szCs w:val="24"/>
              </w:rPr>
              <w:t>Перевірка впливу електромагнітних перешкод</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135"/>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1.9</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Перевірка/налаштування положення оптичних датчиків верхнього рівня</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420"/>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1.10</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Перевірка/налаштування  положення  оптичних датчиків нижнього рівня</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345"/>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1.11</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Перевірка/налаштування датчика вимірювання HGB</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495"/>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1.12</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Промивка системи дозування  обертового клапана</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209"/>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hAnsi="Times New Roman"/>
                <w:sz w:val="24"/>
                <w:szCs w:val="24"/>
              </w:rPr>
              <w:t>1.13</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Заміна трубки в голці забору цільної крові</w:t>
            </w:r>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r w:rsidR="00EB1074" w:rsidRPr="00FA1C91" w:rsidTr="00FA1C91">
        <w:trPr>
          <w:trHeight w:val="413"/>
        </w:trPr>
        <w:tc>
          <w:tcPr>
            <w:tcW w:w="704" w:type="dxa"/>
          </w:tcPr>
          <w:p w:rsidR="00EB1074" w:rsidRPr="00FA1C91" w:rsidRDefault="00EB1074" w:rsidP="00C561E6">
            <w:pPr>
              <w:spacing w:line="240" w:lineRule="auto"/>
              <w:jc w:val="center"/>
              <w:rPr>
                <w:rFonts w:ascii="Times New Roman" w:eastAsia="Times New Roman" w:hAnsi="Times New Roman"/>
                <w:bCs/>
                <w:color w:val="000000"/>
                <w:sz w:val="24"/>
                <w:szCs w:val="24"/>
                <w:lang w:eastAsia="uk-UA"/>
              </w:rPr>
            </w:pPr>
            <w:r w:rsidRPr="00FA1C91">
              <w:rPr>
                <w:rFonts w:ascii="Times New Roman" w:eastAsia="Times New Roman" w:hAnsi="Times New Roman"/>
                <w:bCs/>
                <w:color w:val="000000"/>
                <w:sz w:val="24"/>
                <w:szCs w:val="24"/>
                <w:lang w:eastAsia="uk-UA"/>
              </w:rPr>
              <w:t>1.14</w:t>
            </w:r>
          </w:p>
        </w:tc>
        <w:tc>
          <w:tcPr>
            <w:tcW w:w="7382" w:type="dxa"/>
          </w:tcPr>
          <w:p w:rsidR="00EB1074" w:rsidRPr="00FA1C91" w:rsidRDefault="00EB1074" w:rsidP="00C561E6">
            <w:pPr>
              <w:spacing w:line="240" w:lineRule="auto"/>
              <w:rPr>
                <w:rFonts w:ascii="Times New Roman" w:eastAsia="Times New Roman" w:hAnsi="Times New Roman"/>
                <w:bCs/>
                <w:color w:val="000000"/>
                <w:sz w:val="24"/>
                <w:szCs w:val="24"/>
              </w:rPr>
            </w:pPr>
            <w:r w:rsidRPr="00FA1C91">
              <w:rPr>
                <w:rFonts w:ascii="Times New Roman" w:hAnsi="Times New Roman"/>
                <w:sz w:val="24"/>
                <w:szCs w:val="24"/>
              </w:rPr>
              <w:t xml:space="preserve">Заміна гумового ущільнювача адаптера для </w:t>
            </w:r>
            <w:proofErr w:type="spellStart"/>
            <w:r w:rsidRPr="00FA1C91">
              <w:rPr>
                <w:rFonts w:ascii="Times New Roman" w:hAnsi="Times New Roman"/>
                <w:sz w:val="24"/>
                <w:szCs w:val="24"/>
              </w:rPr>
              <w:t>мікрокапіляра</w:t>
            </w:r>
            <w:proofErr w:type="spellEnd"/>
          </w:p>
        </w:tc>
        <w:tc>
          <w:tcPr>
            <w:tcW w:w="1123"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c>
          <w:tcPr>
            <w:tcW w:w="862" w:type="dxa"/>
            <w:vMerge/>
          </w:tcPr>
          <w:p w:rsidR="00EB1074" w:rsidRPr="00FA1C91" w:rsidRDefault="00EB1074" w:rsidP="00C561E6">
            <w:pPr>
              <w:spacing w:line="240" w:lineRule="auto"/>
              <w:jc w:val="center"/>
              <w:rPr>
                <w:rFonts w:ascii="Times New Roman" w:eastAsia="Times New Roman" w:hAnsi="Times New Roman"/>
                <w:b/>
                <w:color w:val="000000"/>
                <w:sz w:val="24"/>
                <w:szCs w:val="24"/>
              </w:rPr>
            </w:pPr>
          </w:p>
        </w:tc>
      </w:tr>
    </w:tbl>
    <w:p w:rsidR="00EB1074" w:rsidRPr="00FA1C91" w:rsidRDefault="00EB1074" w:rsidP="00EB1074">
      <w:pPr>
        <w:ind w:firstLine="426"/>
        <w:jc w:val="both"/>
        <w:rPr>
          <w:rFonts w:ascii="Times New Roman" w:hAnsi="Times New Roman"/>
          <w:noProof/>
          <w:sz w:val="24"/>
          <w:szCs w:val="24"/>
          <w:u w:val="single"/>
          <w:lang w:eastAsia="ru-RU"/>
        </w:rPr>
      </w:pPr>
      <w:r w:rsidRPr="00FA1C91">
        <w:rPr>
          <w:rFonts w:ascii="Times New Roman" w:hAnsi="Times New Roman"/>
          <w:noProof/>
          <w:sz w:val="24"/>
          <w:szCs w:val="24"/>
          <w:u w:val="single"/>
          <w:lang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F57629">
        <w:rPr>
          <w:rFonts w:ascii="Times New Roman" w:hAnsi="Times New Roman"/>
          <w:noProof/>
          <w:sz w:val="24"/>
          <w:szCs w:val="24"/>
          <w:lang w:eastAsia="ru-RU"/>
        </w:rPr>
        <w:t xml:space="preserve">      1</w:t>
      </w:r>
      <w:r w:rsidRPr="00926A46">
        <w:rPr>
          <w:rFonts w:ascii="Times New Roman" w:hAnsi="Times New Roman"/>
          <w:noProof/>
          <w:sz w:val="24"/>
          <w:szCs w:val="24"/>
          <w:lang w:eastAsia="ru-RU"/>
        </w:rPr>
        <w:t>. Послуги повинні надаватися згідно м</w:t>
      </w:r>
      <w:r w:rsidRPr="00F57629">
        <w:rPr>
          <w:rFonts w:ascii="Times New Roman" w:hAnsi="Times New Roman"/>
          <w:noProof/>
          <w:sz w:val="24"/>
          <w:szCs w:val="24"/>
          <w:lang w:eastAsia="ru-RU"/>
        </w:rPr>
        <w:t>етодики та стандартів виробника</w:t>
      </w:r>
      <w:r w:rsidRPr="00926A46">
        <w:rPr>
          <w:rFonts w:ascii="Times New Roman" w:hAnsi="Times New Roman"/>
          <w:noProof/>
          <w:sz w:val="24"/>
          <w:szCs w:val="24"/>
          <w:lang w:eastAsia="ru-RU"/>
        </w:rPr>
        <w:t xml:space="preserve"> сервісними інженерами, що пройшли сп</w:t>
      </w:r>
      <w:r w:rsidRPr="00F57629">
        <w:rPr>
          <w:rFonts w:ascii="Times New Roman" w:hAnsi="Times New Roman"/>
          <w:noProof/>
          <w:sz w:val="24"/>
          <w:szCs w:val="24"/>
          <w:lang w:eastAsia="ru-RU"/>
        </w:rPr>
        <w:t>еціалізовані тренінги та мають</w:t>
      </w:r>
      <w:r w:rsidRPr="00926A46">
        <w:rPr>
          <w:rFonts w:ascii="Times New Roman" w:hAnsi="Times New Roman"/>
          <w:noProof/>
          <w:sz w:val="24"/>
          <w:szCs w:val="24"/>
          <w:lang w:eastAsia="ru-RU"/>
        </w:rPr>
        <w:t xml:space="preserve"> досвід по проведенню ремонту і технічному обслугову</w:t>
      </w:r>
      <w:r>
        <w:rPr>
          <w:rFonts w:ascii="Times New Roman" w:hAnsi="Times New Roman"/>
          <w:noProof/>
          <w:sz w:val="24"/>
          <w:szCs w:val="24"/>
          <w:lang w:eastAsia="ru-RU"/>
        </w:rPr>
        <w:t>ванню даного обладнання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2. Надання послуг з ремонту та </w:t>
      </w:r>
      <w:r w:rsidRPr="00F57629">
        <w:rPr>
          <w:rFonts w:ascii="Times New Roman" w:hAnsi="Times New Roman"/>
          <w:noProof/>
          <w:sz w:val="24"/>
          <w:szCs w:val="24"/>
          <w:lang w:eastAsia="ru-RU"/>
        </w:rPr>
        <w:t>профілактичного обслуговування аналізаторів</w:t>
      </w:r>
      <w:r w:rsidRPr="00926A46">
        <w:rPr>
          <w:rFonts w:ascii="Times New Roman" w:hAnsi="Times New Roman"/>
          <w:noProof/>
          <w:sz w:val="24"/>
          <w:szCs w:val="24"/>
          <w:lang w:eastAsia="ru-RU"/>
        </w:rPr>
        <w:t xml:space="preserve"> передбачає приїзд представника Виконавця послуг на територію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3. 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4. Запасні частини, які будуть використанні при проведенні поточного ремонту, повинні бути новими, оригінальними або сумісними з даним обладнанням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lastRenderedPageBreak/>
        <w:t xml:space="preserve">      5. Стабільність та надійність послуги підтверджується Виконавцем гарантією якості. </w:t>
      </w:r>
      <w:r w:rsidRPr="00E83FDD">
        <w:rPr>
          <w:rFonts w:ascii="Times New Roman" w:hAnsi="Times New Roman"/>
          <w:noProof/>
          <w:sz w:val="24"/>
          <w:szCs w:val="24"/>
          <w:lang w:eastAsia="ru-RU"/>
        </w:rPr>
        <w:t xml:space="preserve">Гарантійний термін на надані послуги та  встановлені запасні частини повинен складати не менш ніж  3 місяців з моменту встановлення запасних частин. Строк  гарантійного терміну починається після  підписання акту та за умов дотримання Замовником правил експлуатації, викладених в документі від виробника </w:t>
      </w:r>
      <w:r w:rsidRPr="00926A46">
        <w:rPr>
          <w:rFonts w:ascii="Times New Roman" w:hAnsi="Times New Roman"/>
          <w:noProof/>
          <w:sz w:val="24"/>
          <w:szCs w:val="24"/>
          <w:lang w:eastAsia="ru-RU"/>
        </w:rPr>
        <w:t>(</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Pr="00926A46" w:rsidRDefault="00EB1074" w:rsidP="00EB1074">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6. Виконавець послуг повинен передбачити</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механізм оперативної заміни</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критичних позицій, у випадку виявлення</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 xml:space="preserve">дефекту після надання послуги: у випадку раптового виходу з ладу обладнання, включеного до договору, Виконавець послуг повинен направити представника для ремонту протягом </w:t>
      </w:r>
      <w:r>
        <w:rPr>
          <w:rFonts w:ascii="Times New Roman" w:hAnsi="Times New Roman"/>
          <w:noProof/>
          <w:sz w:val="24"/>
          <w:szCs w:val="24"/>
          <w:lang w:eastAsia="ru-RU"/>
        </w:rPr>
        <w:t>5</w:t>
      </w:r>
      <w:r w:rsidRPr="00926A46">
        <w:rPr>
          <w:rFonts w:ascii="Times New Roman" w:hAnsi="Times New Roman"/>
          <w:noProof/>
          <w:sz w:val="24"/>
          <w:szCs w:val="24"/>
          <w:lang w:eastAsia="ru-RU"/>
        </w:rPr>
        <w:t xml:space="preserve"> діб з моменту звернення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EB1074" w:rsidRDefault="00EB1074" w:rsidP="00EB1074">
      <w:pPr>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w:t>
      </w:r>
      <w:r>
        <w:rPr>
          <w:rFonts w:ascii="Times New Roman" w:hAnsi="Times New Roman"/>
          <w:noProof/>
          <w:sz w:val="24"/>
          <w:szCs w:val="24"/>
          <w:lang w:val="ru-RU" w:eastAsia="ru-RU"/>
        </w:rPr>
        <w:t>7</w:t>
      </w:r>
      <w:r w:rsidRPr="00926A46">
        <w:rPr>
          <w:rFonts w:ascii="Times New Roman" w:hAnsi="Times New Roman"/>
          <w:noProof/>
          <w:sz w:val="24"/>
          <w:szCs w:val="24"/>
          <w:lang w:eastAsia="ru-RU"/>
        </w:rPr>
        <w:t>. Вартість послуг п</w:t>
      </w:r>
      <w:r w:rsidRPr="00F57629">
        <w:rPr>
          <w:rFonts w:ascii="Times New Roman" w:hAnsi="Times New Roman"/>
          <w:noProof/>
          <w:sz w:val="24"/>
          <w:szCs w:val="24"/>
          <w:lang w:eastAsia="ru-RU"/>
        </w:rPr>
        <w:t>овинна включати прямі витрати (</w:t>
      </w:r>
      <w:r w:rsidRPr="00926A46">
        <w:rPr>
          <w:rFonts w:ascii="Times New Roman" w:hAnsi="Times New Roman"/>
          <w:noProof/>
          <w:sz w:val="24"/>
          <w:szCs w:val="24"/>
          <w:lang w:eastAsia="ru-RU"/>
        </w:rPr>
        <w:t>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B421C5" w:rsidRDefault="00B421C5" w:rsidP="00B421C5">
      <w:pPr>
        <w:widowControl w:val="0"/>
        <w:spacing w:after="0" w:line="240" w:lineRule="auto"/>
        <w:rPr>
          <w:rStyle w:val="a8"/>
          <w:rFonts w:ascii="Times New Roman" w:hAnsi="Times New Roman" w:cs="Times New Roman"/>
          <w:u w:val="single"/>
        </w:rPr>
      </w:pPr>
    </w:p>
    <w:p w:rsidR="00FA1C91" w:rsidRDefault="00FA1C91" w:rsidP="00B421C5">
      <w:pPr>
        <w:widowControl w:val="0"/>
        <w:spacing w:after="0" w:line="240" w:lineRule="auto"/>
        <w:rPr>
          <w:rStyle w:val="a8"/>
          <w:rFonts w:ascii="Times New Roman" w:hAnsi="Times New Roman" w:cs="Times New Roman"/>
          <w:u w:val="single"/>
        </w:rPr>
      </w:pPr>
    </w:p>
    <w:p w:rsidR="00FA1C91" w:rsidRDefault="00FA1C91" w:rsidP="00D42DD6">
      <w:pPr>
        <w:spacing w:after="0" w:line="240" w:lineRule="auto"/>
        <w:ind w:firstLine="720"/>
        <w:jc w:val="both"/>
        <w:rPr>
          <w:rFonts w:ascii="Times New Roman" w:hAnsi="Times New Roman" w:cs="Times New Roman"/>
          <w:i/>
          <w:color w:val="000000"/>
          <w:lang w:eastAsia="uk-UA"/>
        </w:rPr>
      </w:pPr>
    </w:p>
    <w:p w:rsidR="00FA1C91" w:rsidRPr="00FA1C91" w:rsidRDefault="00FA1C91" w:rsidP="00D42DD6">
      <w:pPr>
        <w:spacing w:after="0" w:line="240" w:lineRule="auto"/>
        <w:ind w:firstLine="720"/>
        <w:jc w:val="both"/>
        <w:rPr>
          <w:rFonts w:ascii="Times New Roman" w:hAnsi="Times New Roman" w:cs="Times New Roman"/>
          <w:i/>
          <w:color w:val="000000"/>
          <w:sz w:val="24"/>
          <w:szCs w:val="24"/>
          <w:lang w:eastAsia="uk-UA"/>
        </w:rPr>
      </w:pPr>
    </w:p>
    <w:p w:rsidR="00D42DD6" w:rsidRPr="00FA1C91" w:rsidRDefault="00D42DD6" w:rsidP="00D42DD6">
      <w:pPr>
        <w:spacing w:after="0" w:line="240" w:lineRule="auto"/>
        <w:ind w:firstLine="720"/>
        <w:jc w:val="both"/>
        <w:rPr>
          <w:rFonts w:ascii="Times New Roman" w:hAnsi="Times New Roman" w:cs="Times New Roman"/>
          <w:i/>
          <w:color w:val="000000"/>
          <w:sz w:val="24"/>
          <w:szCs w:val="24"/>
          <w:lang w:eastAsia="uk-UA"/>
        </w:rPr>
      </w:pPr>
      <w:r w:rsidRPr="00FA1C91">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4F6019" w:rsidRDefault="004F6019"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FA1C91" w:rsidRDefault="00FA1C91" w:rsidP="004A1700">
      <w:pPr>
        <w:keepLines/>
        <w:autoSpaceDE w:val="0"/>
        <w:autoSpaceDN w:val="0"/>
        <w:ind w:left="-567" w:right="-284" w:firstLine="284"/>
        <w:rPr>
          <w:rFonts w:ascii="Times New Roman" w:eastAsia="Times New Roman" w:hAnsi="Times New Roman" w:cs="Times New Roman"/>
          <w:b/>
          <w:i/>
          <w:sz w:val="24"/>
          <w:szCs w:val="24"/>
          <w:u w:val="single"/>
          <w:lang w:bidi="uk-UA"/>
        </w:rPr>
      </w:pP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10A" w:rsidRDefault="0029110A" w:rsidP="007A7FF4">
      <w:pPr>
        <w:spacing w:after="0" w:line="240" w:lineRule="auto"/>
      </w:pPr>
      <w:r>
        <w:separator/>
      </w:r>
    </w:p>
  </w:endnote>
  <w:endnote w:type="continuationSeparator" w:id="0">
    <w:p w:rsidR="0029110A" w:rsidRDefault="0029110A"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8C0E2F" w:rsidRDefault="008C0E2F">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8C0E2F" w:rsidRDefault="008C0E2F">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10A" w:rsidRDefault="0029110A" w:rsidP="007A7FF4">
      <w:pPr>
        <w:spacing w:after="0" w:line="240" w:lineRule="auto"/>
      </w:pPr>
      <w:r>
        <w:separator/>
      </w:r>
    </w:p>
  </w:footnote>
  <w:footnote w:type="continuationSeparator" w:id="0">
    <w:p w:rsidR="0029110A" w:rsidRDefault="0029110A"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C52640D"/>
    <w:multiLevelType w:val="hybridMultilevel"/>
    <w:tmpl w:val="41A494EA"/>
    <w:lvl w:ilvl="0" w:tplc="4548704C">
      <w:start w:val="4"/>
      <w:numFmt w:val="bullet"/>
      <w:lvlText w:val="-"/>
      <w:lvlJc w:val="left"/>
      <w:pPr>
        <w:tabs>
          <w:tab w:val="num" w:pos="720"/>
        </w:tabs>
        <w:ind w:left="720" w:hanging="360"/>
      </w:pPr>
      <w:rPr>
        <w:rFonts w:ascii="Times New Roman" w:eastAsia="Times New Roman" w:hAnsi="Times New Roman" w:hint="default"/>
      </w:rPr>
    </w:lvl>
    <w:lvl w:ilvl="1" w:tplc="A6D24238">
      <w:start w:val="1"/>
      <w:numFmt w:val="bullet"/>
      <w:lvlText w:val="o"/>
      <w:lvlJc w:val="left"/>
      <w:pPr>
        <w:tabs>
          <w:tab w:val="num" w:pos="1440"/>
        </w:tabs>
        <w:ind w:left="1440" w:hanging="360"/>
      </w:pPr>
      <w:rPr>
        <w:rFonts w:ascii="Courier New" w:hAnsi="Courier New" w:cs="Courier New" w:hint="default"/>
      </w:rPr>
    </w:lvl>
    <w:lvl w:ilvl="2" w:tplc="D7F096CC">
      <w:start w:val="1"/>
      <w:numFmt w:val="bullet"/>
      <w:lvlText w:val=""/>
      <w:lvlJc w:val="left"/>
      <w:pPr>
        <w:tabs>
          <w:tab w:val="num" w:pos="2160"/>
        </w:tabs>
        <w:ind w:left="2160" w:hanging="360"/>
      </w:pPr>
      <w:rPr>
        <w:rFonts w:ascii="Wingdings" w:hAnsi="Wingdings" w:cs="Wingdings" w:hint="default"/>
      </w:rPr>
    </w:lvl>
    <w:lvl w:ilvl="3" w:tplc="90DE19EC">
      <w:start w:val="1"/>
      <w:numFmt w:val="bullet"/>
      <w:lvlText w:val=""/>
      <w:lvlJc w:val="left"/>
      <w:pPr>
        <w:tabs>
          <w:tab w:val="num" w:pos="2880"/>
        </w:tabs>
        <w:ind w:left="2880" w:hanging="360"/>
      </w:pPr>
      <w:rPr>
        <w:rFonts w:ascii="Symbol" w:hAnsi="Symbol" w:cs="Symbol" w:hint="default"/>
      </w:rPr>
    </w:lvl>
    <w:lvl w:ilvl="4" w:tplc="E01C28C6">
      <w:start w:val="1"/>
      <w:numFmt w:val="bullet"/>
      <w:lvlText w:val="o"/>
      <w:lvlJc w:val="left"/>
      <w:pPr>
        <w:tabs>
          <w:tab w:val="num" w:pos="3600"/>
        </w:tabs>
        <w:ind w:left="3600" w:hanging="360"/>
      </w:pPr>
      <w:rPr>
        <w:rFonts w:ascii="Courier New" w:hAnsi="Courier New" w:cs="Courier New" w:hint="default"/>
      </w:rPr>
    </w:lvl>
    <w:lvl w:ilvl="5" w:tplc="7F24E5FA">
      <w:start w:val="1"/>
      <w:numFmt w:val="bullet"/>
      <w:lvlText w:val=""/>
      <w:lvlJc w:val="left"/>
      <w:pPr>
        <w:tabs>
          <w:tab w:val="num" w:pos="4320"/>
        </w:tabs>
        <w:ind w:left="4320" w:hanging="360"/>
      </w:pPr>
      <w:rPr>
        <w:rFonts w:ascii="Wingdings" w:hAnsi="Wingdings" w:cs="Wingdings" w:hint="default"/>
      </w:rPr>
    </w:lvl>
    <w:lvl w:ilvl="6" w:tplc="30A245B6">
      <w:start w:val="1"/>
      <w:numFmt w:val="bullet"/>
      <w:lvlText w:val=""/>
      <w:lvlJc w:val="left"/>
      <w:pPr>
        <w:tabs>
          <w:tab w:val="num" w:pos="5040"/>
        </w:tabs>
        <w:ind w:left="5040" w:hanging="360"/>
      </w:pPr>
      <w:rPr>
        <w:rFonts w:ascii="Symbol" w:hAnsi="Symbol" w:cs="Symbol" w:hint="default"/>
      </w:rPr>
    </w:lvl>
    <w:lvl w:ilvl="7" w:tplc="ED6AB16A">
      <w:start w:val="1"/>
      <w:numFmt w:val="bullet"/>
      <w:lvlText w:val="o"/>
      <w:lvlJc w:val="left"/>
      <w:pPr>
        <w:tabs>
          <w:tab w:val="num" w:pos="5760"/>
        </w:tabs>
        <w:ind w:left="5760" w:hanging="360"/>
      </w:pPr>
      <w:rPr>
        <w:rFonts w:ascii="Courier New" w:hAnsi="Courier New" w:cs="Courier New" w:hint="default"/>
      </w:rPr>
    </w:lvl>
    <w:lvl w:ilvl="8" w:tplc="D37E386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97FBC"/>
    <w:multiLevelType w:val="hybridMultilevel"/>
    <w:tmpl w:val="B026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7" w15:restartNumberingAfterBreak="0">
    <w:nsid w:val="588D69BF"/>
    <w:multiLevelType w:val="hybridMultilevel"/>
    <w:tmpl w:val="45F64E98"/>
    <w:lvl w:ilvl="0" w:tplc="8B56CB0C">
      <w:start w:val="1"/>
      <w:numFmt w:val="bullet"/>
      <w:lvlText w:val=""/>
      <w:lvlJc w:val="left"/>
      <w:pPr>
        <w:ind w:left="720" w:hanging="360"/>
      </w:pPr>
      <w:rPr>
        <w:rFonts w:ascii="Symbol" w:hAnsi="Symbol" w:hint="default"/>
      </w:rPr>
    </w:lvl>
    <w:lvl w:ilvl="1" w:tplc="14C2BEC6">
      <w:start w:val="1"/>
      <w:numFmt w:val="bullet"/>
      <w:lvlText w:val="o"/>
      <w:lvlJc w:val="left"/>
      <w:pPr>
        <w:ind w:left="1440" w:hanging="360"/>
      </w:pPr>
      <w:rPr>
        <w:rFonts w:ascii="Courier New" w:hAnsi="Courier New" w:cs="Courier New" w:hint="default"/>
      </w:rPr>
    </w:lvl>
    <w:lvl w:ilvl="2" w:tplc="68445B8C">
      <w:start w:val="1"/>
      <w:numFmt w:val="bullet"/>
      <w:lvlText w:val=""/>
      <w:lvlJc w:val="left"/>
      <w:pPr>
        <w:ind w:left="2160" w:hanging="360"/>
      </w:pPr>
      <w:rPr>
        <w:rFonts w:ascii="Wingdings" w:hAnsi="Wingdings" w:hint="default"/>
      </w:rPr>
    </w:lvl>
    <w:lvl w:ilvl="3" w:tplc="6F767C8E">
      <w:start w:val="1"/>
      <w:numFmt w:val="bullet"/>
      <w:lvlText w:val=""/>
      <w:lvlJc w:val="left"/>
      <w:pPr>
        <w:ind w:left="2880" w:hanging="360"/>
      </w:pPr>
      <w:rPr>
        <w:rFonts w:ascii="Symbol" w:hAnsi="Symbol" w:hint="default"/>
      </w:rPr>
    </w:lvl>
    <w:lvl w:ilvl="4" w:tplc="EAFC84AC">
      <w:start w:val="1"/>
      <w:numFmt w:val="bullet"/>
      <w:lvlText w:val="o"/>
      <w:lvlJc w:val="left"/>
      <w:pPr>
        <w:ind w:left="3600" w:hanging="360"/>
      </w:pPr>
      <w:rPr>
        <w:rFonts w:ascii="Courier New" w:hAnsi="Courier New" w:cs="Courier New" w:hint="default"/>
      </w:rPr>
    </w:lvl>
    <w:lvl w:ilvl="5" w:tplc="3C223204">
      <w:start w:val="1"/>
      <w:numFmt w:val="bullet"/>
      <w:lvlText w:val=""/>
      <w:lvlJc w:val="left"/>
      <w:pPr>
        <w:ind w:left="4320" w:hanging="360"/>
      </w:pPr>
      <w:rPr>
        <w:rFonts w:ascii="Wingdings" w:hAnsi="Wingdings" w:hint="default"/>
      </w:rPr>
    </w:lvl>
    <w:lvl w:ilvl="6" w:tplc="09847EA6">
      <w:start w:val="1"/>
      <w:numFmt w:val="bullet"/>
      <w:lvlText w:val=""/>
      <w:lvlJc w:val="left"/>
      <w:pPr>
        <w:ind w:left="5040" w:hanging="360"/>
      </w:pPr>
      <w:rPr>
        <w:rFonts w:ascii="Symbol" w:hAnsi="Symbol" w:hint="default"/>
      </w:rPr>
    </w:lvl>
    <w:lvl w:ilvl="7" w:tplc="41326A72">
      <w:start w:val="1"/>
      <w:numFmt w:val="bullet"/>
      <w:lvlText w:val="o"/>
      <w:lvlJc w:val="left"/>
      <w:pPr>
        <w:ind w:left="5760" w:hanging="360"/>
      </w:pPr>
      <w:rPr>
        <w:rFonts w:ascii="Courier New" w:hAnsi="Courier New" w:cs="Courier New" w:hint="default"/>
      </w:rPr>
    </w:lvl>
    <w:lvl w:ilvl="8" w:tplc="18C23362">
      <w:start w:val="1"/>
      <w:numFmt w:val="bullet"/>
      <w:lvlText w:val=""/>
      <w:lvlJc w:val="left"/>
      <w:pPr>
        <w:ind w:left="6480" w:hanging="360"/>
      </w:pPr>
      <w:rPr>
        <w:rFonts w:ascii="Wingdings" w:hAnsi="Wingdings" w:hint="default"/>
      </w:rPr>
    </w:lvl>
  </w:abstractNum>
  <w:abstractNum w:abstractNumId="18"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B674E"/>
    <w:multiLevelType w:val="hybridMultilevel"/>
    <w:tmpl w:val="D9DC8190"/>
    <w:lvl w:ilvl="0" w:tplc="E6364F1E">
      <w:start w:val="4"/>
      <w:numFmt w:val="bullet"/>
      <w:lvlText w:val="-"/>
      <w:lvlJc w:val="left"/>
      <w:pPr>
        <w:ind w:left="720" w:hanging="360"/>
      </w:pPr>
      <w:rPr>
        <w:rFonts w:ascii="Times New Roman" w:eastAsia="Times New Roman" w:hAnsi="Times New Roman" w:hint="default"/>
      </w:rPr>
    </w:lvl>
    <w:lvl w:ilvl="1" w:tplc="C5526DD8">
      <w:start w:val="1"/>
      <w:numFmt w:val="bullet"/>
      <w:lvlText w:val="o"/>
      <w:lvlJc w:val="left"/>
      <w:pPr>
        <w:ind w:left="1440" w:hanging="360"/>
      </w:pPr>
      <w:rPr>
        <w:rFonts w:ascii="Courier New" w:hAnsi="Courier New" w:cs="Courier New" w:hint="default"/>
      </w:rPr>
    </w:lvl>
    <w:lvl w:ilvl="2" w:tplc="7AE06E5C">
      <w:start w:val="1"/>
      <w:numFmt w:val="bullet"/>
      <w:lvlText w:val=""/>
      <w:lvlJc w:val="left"/>
      <w:pPr>
        <w:ind w:left="2160" w:hanging="360"/>
      </w:pPr>
      <w:rPr>
        <w:rFonts w:ascii="Wingdings" w:hAnsi="Wingdings" w:hint="default"/>
      </w:rPr>
    </w:lvl>
    <w:lvl w:ilvl="3" w:tplc="53DC75C0">
      <w:start w:val="1"/>
      <w:numFmt w:val="bullet"/>
      <w:lvlText w:val=""/>
      <w:lvlJc w:val="left"/>
      <w:pPr>
        <w:ind w:left="2880" w:hanging="360"/>
      </w:pPr>
      <w:rPr>
        <w:rFonts w:ascii="Symbol" w:hAnsi="Symbol" w:hint="default"/>
      </w:rPr>
    </w:lvl>
    <w:lvl w:ilvl="4" w:tplc="A1EA20EA">
      <w:start w:val="1"/>
      <w:numFmt w:val="bullet"/>
      <w:lvlText w:val="o"/>
      <w:lvlJc w:val="left"/>
      <w:pPr>
        <w:ind w:left="3600" w:hanging="360"/>
      </w:pPr>
      <w:rPr>
        <w:rFonts w:ascii="Courier New" w:hAnsi="Courier New" w:cs="Courier New" w:hint="default"/>
      </w:rPr>
    </w:lvl>
    <w:lvl w:ilvl="5" w:tplc="F2DEE166">
      <w:start w:val="1"/>
      <w:numFmt w:val="bullet"/>
      <w:lvlText w:val=""/>
      <w:lvlJc w:val="left"/>
      <w:pPr>
        <w:ind w:left="4320" w:hanging="360"/>
      </w:pPr>
      <w:rPr>
        <w:rFonts w:ascii="Wingdings" w:hAnsi="Wingdings" w:hint="default"/>
      </w:rPr>
    </w:lvl>
    <w:lvl w:ilvl="6" w:tplc="BD7AA02A">
      <w:start w:val="1"/>
      <w:numFmt w:val="bullet"/>
      <w:lvlText w:val=""/>
      <w:lvlJc w:val="left"/>
      <w:pPr>
        <w:ind w:left="5040" w:hanging="360"/>
      </w:pPr>
      <w:rPr>
        <w:rFonts w:ascii="Symbol" w:hAnsi="Symbol" w:hint="default"/>
      </w:rPr>
    </w:lvl>
    <w:lvl w:ilvl="7" w:tplc="142ADA44">
      <w:start w:val="1"/>
      <w:numFmt w:val="bullet"/>
      <w:lvlText w:val="o"/>
      <w:lvlJc w:val="left"/>
      <w:pPr>
        <w:ind w:left="5760" w:hanging="360"/>
      </w:pPr>
      <w:rPr>
        <w:rFonts w:ascii="Courier New" w:hAnsi="Courier New" w:cs="Courier New" w:hint="default"/>
      </w:rPr>
    </w:lvl>
    <w:lvl w:ilvl="8" w:tplc="204ED714">
      <w:start w:val="1"/>
      <w:numFmt w:val="bullet"/>
      <w:lvlText w:val=""/>
      <w:lvlJc w:val="left"/>
      <w:pPr>
        <w:ind w:left="6480" w:hanging="360"/>
      </w:pPr>
      <w:rPr>
        <w:rFonts w:ascii="Wingdings" w:hAnsi="Wingdings" w:hint="default"/>
      </w:rPr>
    </w:lvl>
  </w:abstractNum>
  <w:abstractNum w:abstractNumId="21"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22"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4" w15:restartNumberingAfterBreak="0">
    <w:nsid w:val="789D02CB"/>
    <w:multiLevelType w:val="hybridMultilevel"/>
    <w:tmpl w:val="931C3092"/>
    <w:lvl w:ilvl="0" w:tplc="99C0D314">
      <w:start w:val="1"/>
      <w:numFmt w:val="bullet"/>
      <w:lvlText w:val="-"/>
      <w:lvlJc w:val="left"/>
      <w:pPr>
        <w:ind w:left="720" w:hanging="360"/>
      </w:pPr>
      <w:rPr>
        <w:rFonts w:ascii="Times New Roman" w:eastAsia="Times New Roman" w:hAnsi="Times New Roman" w:cs="Times New Roman" w:hint="default"/>
      </w:rPr>
    </w:lvl>
    <w:lvl w:ilvl="1" w:tplc="5D085500">
      <w:start w:val="1"/>
      <w:numFmt w:val="bullet"/>
      <w:lvlText w:val="o"/>
      <w:lvlJc w:val="left"/>
      <w:pPr>
        <w:ind w:left="1440" w:hanging="360"/>
      </w:pPr>
      <w:rPr>
        <w:rFonts w:ascii="Courier New" w:hAnsi="Courier New" w:cs="Courier New" w:hint="default"/>
      </w:rPr>
    </w:lvl>
    <w:lvl w:ilvl="2" w:tplc="66681AC4">
      <w:start w:val="1"/>
      <w:numFmt w:val="bullet"/>
      <w:lvlText w:val=""/>
      <w:lvlJc w:val="left"/>
      <w:pPr>
        <w:ind w:left="2160" w:hanging="360"/>
      </w:pPr>
      <w:rPr>
        <w:rFonts w:ascii="Wingdings" w:hAnsi="Wingdings" w:hint="default"/>
      </w:rPr>
    </w:lvl>
    <w:lvl w:ilvl="3" w:tplc="502AE46A">
      <w:start w:val="1"/>
      <w:numFmt w:val="bullet"/>
      <w:lvlText w:val=""/>
      <w:lvlJc w:val="left"/>
      <w:pPr>
        <w:ind w:left="2880" w:hanging="360"/>
      </w:pPr>
      <w:rPr>
        <w:rFonts w:ascii="Symbol" w:hAnsi="Symbol" w:hint="default"/>
      </w:rPr>
    </w:lvl>
    <w:lvl w:ilvl="4" w:tplc="4B847094">
      <w:start w:val="1"/>
      <w:numFmt w:val="bullet"/>
      <w:lvlText w:val="o"/>
      <w:lvlJc w:val="left"/>
      <w:pPr>
        <w:ind w:left="3600" w:hanging="360"/>
      </w:pPr>
      <w:rPr>
        <w:rFonts w:ascii="Courier New" w:hAnsi="Courier New" w:cs="Courier New" w:hint="default"/>
      </w:rPr>
    </w:lvl>
    <w:lvl w:ilvl="5" w:tplc="5BCC2832">
      <w:start w:val="1"/>
      <w:numFmt w:val="bullet"/>
      <w:lvlText w:val=""/>
      <w:lvlJc w:val="left"/>
      <w:pPr>
        <w:ind w:left="4320" w:hanging="360"/>
      </w:pPr>
      <w:rPr>
        <w:rFonts w:ascii="Wingdings" w:hAnsi="Wingdings" w:hint="default"/>
      </w:rPr>
    </w:lvl>
    <w:lvl w:ilvl="6" w:tplc="49DCD0E8">
      <w:start w:val="1"/>
      <w:numFmt w:val="bullet"/>
      <w:lvlText w:val=""/>
      <w:lvlJc w:val="left"/>
      <w:pPr>
        <w:ind w:left="5040" w:hanging="360"/>
      </w:pPr>
      <w:rPr>
        <w:rFonts w:ascii="Symbol" w:hAnsi="Symbol" w:hint="default"/>
      </w:rPr>
    </w:lvl>
    <w:lvl w:ilvl="7" w:tplc="DD84AB98">
      <w:start w:val="1"/>
      <w:numFmt w:val="bullet"/>
      <w:lvlText w:val="o"/>
      <w:lvlJc w:val="left"/>
      <w:pPr>
        <w:ind w:left="5760" w:hanging="360"/>
      </w:pPr>
      <w:rPr>
        <w:rFonts w:ascii="Courier New" w:hAnsi="Courier New" w:cs="Courier New" w:hint="default"/>
      </w:rPr>
    </w:lvl>
    <w:lvl w:ilvl="8" w:tplc="754EB644">
      <w:start w:val="1"/>
      <w:numFmt w:val="bullet"/>
      <w:lvlText w:val=""/>
      <w:lvlJc w:val="left"/>
      <w:pPr>
        <w:ind w:left="6480" w:hanging="360"/>
      </w:pPr>
      <w:rPr>
        <w:rFonts w:ascii="Wingdings" w:hAnsi="Wingdings" w:hint="default"/>
      </w:rPr>
    </w:lvl>
  </w:abstractNum>
  <w:abstractNum w:abstractNumId="25"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8"/>
  </w:num>
  <w:num w:numId="2">
    <w:abstractNumId w:val="15"/>
  </w:num>
  <w:num w:numId="3">
    <w:abstractNumId w:val="8"/>
  </w:num>
  <w:num w:numId="4">
    <w:abstractNumId w:val="19"/>
  </w:num>
  <w:num w:numId="5">
    <w:abstractNumId w:val="6"/>
  </w:num>
  <w:num w:numId="6">
    <w:abstractNumId w:val="22"/>
  </w:num>
  <w:num w:numId="7">
    <w:abstractNumId w:val="5"/>
  </w:num>
  <w:num w:numId="8">
    <w:abstractNumId w:val="16"/>
  </w:num>
  <w:num w:numId="9">
    <w:abstractNumId w:val="1"/>
  </w:num>
  <w:num w:numId="10">
    <w:abstractNumId w:val="13"/>
  </w:num>
  <w:num w:numId="11">
    <w:abstractNumId w:val="23"/>
  </w:num>
  <w:num w:numId="12">
    <w:abstractNumId w:val="4"/>
  </w:num>
  <w:num w:numId="13">
    <w:abstractNumId w:val="7"/>
  </w:num>
  <w:num w:numId="14">
    <w:abstractNumId w:val="11"/>
  </w:num>
  <w:num w:numId="15">
    <w:abstractNumId w:val="2"/>
  </w:num>
  <w:num w:numId="16">
    <w:abstractNumId w:val="21"/>
  </w:num>
  <w:num w:numId="17">
    <w:abstractNumId w:val="25"/>
  </w:num>
  <w:num w:numId="18">
    <w:abstractNumId w:val="9"/>
  </w:num>
  <w:num w:numId="19">
    <w:abstractNumId w:val="10"/>
  </w:num>
  <w:num w:numId="20">
    <w:abstractNumId w:val="3"/>
  </w:num>
  <w:num w:numId="21">
    <w:abstractNumId w:val="24"/>
  </w:num>
  <w:num w:numId="22">
    <w:abstractNumId w:val="20"/>
  </w:num>
  <w:num w:numId="23">
    <w:abstractNumId w:val="12"/>
  </w:num>
  <w:num w:numId="24">
    <w:abstractNumId w:val="17"/>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98C"/>
    <w:rsid w:val="00083E6E"/>
    <w:rsid w:val="00087559"/>
    <w:rsid w:val="00097C73"/>
    <w:rsid w:val="000A1891"/>
    <w:rsid w:val="000A2289"/>
    <w:rsid w:val="000E0F5B"/>
    <w:rsid w:val="000E18C6"/>
    <w:rsid w:val="000E46F9"/>
    <w:rsid w:val="000E61ED"/>
    <w:rsid w:val="00100E58"/>
    <w:rsid w:val="0010159A"/>
    <w:rsid w:val="00106747"/>
    <w:rsid w:val="001141AE"/>
    <w:rsid w:val="00114ADB"/>
    <w:rsid w:val="00142BFA"/>
    <w:rsid w:val="001629B6"/>
    <w:rsid w:val="00175078"/>
    <w:rsid w:val="00177C33"/>
    <w:rsid w:val="00192AC1"/>
    <w:rsid w:val="00193397"/>
    <w:rsid w:val="001A0429"/>
    <w:rsid w:val="001A4C06"/>
    <w:rsid w:val="001C6417"/>
    <w:rsid w:val="001D6CB5"/>
    <w:rsid w:val="001E0BEC"/>
    <w:rsid w:val="001F14EB"/>
    <w:rsid w:val="001F5077"/>
    <w:rsid w:val="00205483"/>
    <w:rsid w:val="00210320"/>
    <w:rsid w:val="00212ECB"/>
    <w:rsid w:val="00222B29"/>
    <w:rsid w:val="0022461E"/>
    <w:rsid w:val="00226B18"/>
    <w:rsid w:val="00233A67"/>
    <w:rsid w:val="00233F1F"/>
    <w:rsid w:val="00235473"/>
    <w:rsid w:val="00245554"/>
    <w:rsid w:val="0025305A"/>
    <w:rsid w:val="00256671"/>
    <w:rsid w:val="002643C9"/>
    <w:rsid w:val="00271165"/>
    <w:rsid w:val="00274AF3"/>
    <w:rsid w:val="00277226"/>
    <w:rsid w:val="0028206B"/>
    <w:rsid w:val="0029110A"/>
    <w:rsid w:val="002912AB"/>
    <w:rsid w:val="002A6AEA"/>
    <w:rsid w:val="002B4E26"/>
    <w:rsid w:val="002C3705"/>
    <w:rsid w:val="002D126A"/>
    <w:rsid w:val="002D5C98"/>
    <w:rsid w:val="002F0116"/>
    <w:rsid w:val="002F3F2E"/>
    <w:rsid w:val="00323FCA"/>
    <w:rsid w:val="00324B9D"/>
    <w:rsid w:val="00326408"/>
    <w:rsid w:val="00341B57"/>
    <w:rsid w:val="00344380"/>
    <w:rsid w:val="003467C2"/>
    <w:rsid w:val="00347DCA"/>
    <w:rsid w:val="0036186C"/>
    <w:rsid w:val="003827A9"/>
    <w:rsid w:val="00391C18"/>
    <w:rsid w:val="003A6678"/>
    <w:rsid w:val="003C24D5"/>
    <w:rsid w:val="003C52BD"/>
    <w:rsid w:val="003D6DD6"/>
    <w:rsid w:val="003D7D59"/>
    <w:rsid w:val="003F299E"/>
    <w:rsid w:val="0040704E"/>
    <w:rsid w:val="0041346B"/>
    <w:rsid w:val="00437B15"/>
    <w:rsid w:val="00440A36"/>
    <w:rsid w:val="004420B8"/>
    <w:rsid w:val="0046431C"/>
    <w:rsid w:val="00472818"/>
    <w:rsid w:val="00473F89"/>
    <w:rsid w:val="00482396"/>
    <w:rsid w:val="004831AC"/>
    <w:rsid w:val="004936A4"/>
    <w:rsid w:val="004A0191"/>
    <w:rsid w:val="004A1700"/>
    <w:rsid w:val="004C5DE8"/>
    <w:rsid w:val="004C5E9A"/>
    <w:rsid w:val="004E294C"/>
    <w:rsid w:val="004E50F4"/>
    <w:rsid w:val="004F6019"/>
    <w:rsid w:val="005037F1"/>
    <w:rsid w:val="005318D7"/>
    <w:rsid w:val="0054318C"/>
    <w:rsid w:val="00543FAD"/>
    <w:rsid w:val="00544DC1"/>
    <w:rsid w:val="005470CE"/>
    <w:rsid w:val="00550B66"/>
    <w:rsid w:val="00553DFD"/>
    <w:rsid w:val="0056629A"/>
    <w:rsid w:val="00567E20"/>
    <w:rsid w:val="00571E33"/>
    <w:rsid w:val="005759F7"/>
    <w:rsid w:val="00582F7A"/>
    <w:rsid w:val="005851AC"/>
    <w:rsid w:val="005957C5"/>
    <w:rsid w:val="005A44BE"/>
    <w:rsid w:val="005C4896"/>
    <w:rsid w:val="005C6122"/>
    <w:rsid w:val="005D0573"/>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37721"/>
    <w:rsid w:val="00751EE8"/>
    <w:rsid w:val="007540E2"/>
    <w:rsid w:val="00756238"/>
    <w:rsid w:val="00770458"/>
    <w:rsid w:val="007837C0"/>
    <w:rsid w:val="00796A66"/>
    <w:rsid w:val="007A64C7"/>
    <w:rsid w:val="007A7FF4"/>
    <w:rsid w:val="007B2B92"/>
    <w:rsid w:val="007E1D43"/>
    <w:rsid w:val="007E2F9D"/>
    <w:rsid w:val="00800B8A"/>
    <w:rsid w:val="0080300D"/>
    <w:rsid w:val="00810B57"/>
    <w:rsid w:val="00842EF3"/>
    <w:rsid w:val="008442D0"/>
    <w:rsid w:val="0085061E"/>
    <w:rsid w:val="00861DF4"/>
    <w:rsid w:val="00871A95"/>
    <w:rsid w:val="008736A9"/>
    <w:rsid w:val="00892202"/>
    <w:rsid w:val="00897AC7"/>
    <w:rsid w:val="008B0E38"/>
    <w:rsid w:val="008B31CF"/>
    <w:rsid w:val="008C0E2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09EC"/>
    <w:rsid w:val="009A4B65"/>
    <w:rsid w:val="009C7BA5"/>
    <w:rsid w:val="009E47FA"/>
    <w:rsid w:val="009F0F23"/>
    <w:rsid w:val="009F223E"/>
    <w:rsid w:val="00A075B3"/>
    <w:rsid w:val="00A10928"/>
    <w:rsid w:val="00A13388"/>
    <w:rsid w:val="00A151DD"/>
    <w:rsid w:val="00A22DEC"/>
    <w:rsid w:val="00A256DE"/>
    <w:rsid w:val="00A445D3"/>
    <w:rsid w:val="00A564ED"/>
    <w:rsid w:val="00A65D88"/>
    <w:rsid w:val="00A70DAC"/>
    <w:rsid w:val="00A90437"/>
    <w:rsid w:val="00A97CBA"/>
    <w:rsid w:val="00AB2AE9"/>
    <w:rsid w:val="00AE11AF"/>
    <w:rsid w:val="00AE6D25"/>
    <w:rsid w:val="00AF0653"/>
    <w:rsid w:val="00AF4683"/>
    <w:rsid w:val="00AF716D"/>
    <w:rsid w:val="00B11FA9"/>
    <w:rsid w:val="00B35B32"/>
    <w:rsid w:val="00B3604F"/>
    <w:rsid w:val="00B4051F"/>
    <w:rsid w:val="00B421C5"/>
    <w:rsid w:val="00B45FF7"/>
    <w:rsid w:val="00B573D2"/>
    <w:rsid w:val="00B6208A"/>
    <w:rsid w:val="00B7039B"/>
    <w:rsid w:val="00B753E6"/>
    <w:rsid w:val="00B82DB5"/>
    <w:rsid w:val="00B95658"/>
    <w:rsid w:val="00BC00C4"/>
    <w:rsid w:val="00BC218B"/>
    <w:rsid w:val="00BE4BE0"/>
    <w:rsid w:val="00BF410A"/>
    <w:rsid w:val="00C011C1"/>
    <w:rsid w:val="00C06959"/>
    <w:rsid w:val="00C1066D"/>
    <w:rsid w:val="00C3149F"/>
    <w:rsid w:val="00C32DCB"/>
    <w:rsid w:val="00C50175"/>
    <w:rsid w:val="00C50C64"/>
    <w:rsid w:val="00C54F70"/>
    <w:rsid w:val="00C7068E"/>
    <w:rsid w:val="00C75B03"/>
    <w:rsid w:val="00C87072"/>
    <w:rsid w:val="00C9168A"/>
    <w:rsid w:val="00C97D64"/>
    <w:rsid w:val="00CA27C1"/>
    <w:rsid w:val="00CA76A1"/>
    <w:rsid w:val="00CB7551"/>
    <w:rsid w:val="00CD6957"/>
    <w:rsid w:val="00CF337F"/>
    <w:rsid w:val="00CF384B"/>
    <w:rsid w:val="00D0381E"/>
    <w:rsid w:val="00D043EF"/>
    <w:rsid w:val="00D066CD"/>
    <w:rsid w:val="00D167AE"/>
    <w:rsid w:val="00D30191"/>
    <w:rsid w:val="00D32EA8"/>
    <w:rsid w:val="00D36E86"/>
    <w:rsid w:val="00D36FC2"/>
    <w:rsid w:val="00D407EC"/>
    <w:rsid w:val="00D412CD"/>
    <w:rsid w:val="00D42DD6"/>
    <w:rsid w:val="00D56485"/>
    <w:rsid w:val="00D64F18"/>
    <w:rsid w:val="00D77088"/>
    <w:rsid w:val="00DB06BC"/>
    <w:rsid w:val="00DB39A2"/>
    <w:rsid w:val="00DC21B4"/>
    <w:rsid w:val="00DC392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B1074"/>
    <w:rsid w:val="00ED4FFA"/>
    <w:rsid w:val="00EE0503"/>
    <w:rsid w:val="00EF190A"/>
    <w:rsid w:val="00F079D8"/>
    <w:rsid w:val="00F21431"/>
    <w:rsid w:val="00F25D76"/>
    <w:rsid w:val="00F355D4"/>
    <w:rsid w:val="00F36F9A"/>
    <w:rsid w:val="00F63D49"/>
    <w:rsid w:val="00F76E80"/>
    <w:rsid w:val="00F8275F"/>
    <w:rsid w:val="00F96B57"/>
    <w:rsid w:val="00FA1C91"/>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4AA9"/>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1"/>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uiPriority w:val="1"/>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paragraph" w:customStyle="1" w:styleId="docdata">
    <w:name w:val="docdata"/>
    <w:basedOn w:val="a"/>
    <w:rsid w:val="00D42D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EFA891-F006-4D04-81D1-797CD749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23</cp:revision>
  <cp:lastPrinted>2024-04-09T05:14:00Z</cp:lastPrinted>
  <dcterms:created xsi:type="dcterms:W3CDTF">2024-01-26T09:47:00Z</dcterms:created>
  <dcterms:modified xsi:type="dcterms:W3CDTF">2024-04-09T05:14:00Z</dcterms:modified>
</cp:coreProperties>
</file>